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AE6784" w:rsidRPr="00396368" w14:paraId="6DC14F55" w14:textId="77777777" w:rsidTr="00081EA8">
        <w:tc>
          <w:tcPr>
            <w:tcW w:w="8472" w:type="dxa"/>
            <w:gridSpan w:val="2"/>
            <w:shd w:val="clear" w:color="auto" w:fill="auto"/>
          </w:tcPr>
          <w:p w14:paraId="4F5C77E9" w14:textId="77777777" w:rsidR="00AE6784" w:rsidRPr="00396368" w:rsidRDefault="00AE6784" w:rsidP="00081EA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2970F705" w14:textId="4FA286A8" w:rsidR="00AE6784" w:rsidRPr="00396368" w:rsidRDefault="00AE6784" w:rsidP="00081EA8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5</w:t>
            </w:r>
          </w:p>
        </w:tc>
      </w:tr>
      <w:tr w:rsidR="00AE6784" w:rsidRPr="00396368" w14:paraId="4167C45B" w14:textId="77777777" w:rsidTr="00081EA8">
        <w:tc>
          <w:tcPr>
            <w:tcW w:w="1951" w:type="dxa"/>
            <w:shd w:val="clear" w:color="auto" w:fill="auto"/>
          </w:tcPr>
          <w:p w14:paraId="2C0D6BE3" w14:textId="77777777" w:rsidR="00AE6784" w:rsidRPr="00396368" w:rsidRDefault="00AE6784" w:rsidP="00081EA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19F0AE9F" w14:textId="4B7EBB25" w:rsidR="00AE6784" w:rsidRPr="00396368" w:rsidRDefault="00AE6784" w:rsidP="00AE6784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616FDE">
              <w:rPr>
                <w:rFonts w:ascii="Cambria" w:hAnsi="Cambria" w:cs="Arial"/>
                <w:b/>
              </w:rPr>
              <w:t>DEMOLIZIONE</w:t>
            </w:r>
          </w:p>
        </w:tc>
      </w:tr>
      <w:tr w:rsidR="00AE6784" w:rsidRPr="00396368" w14:paraId="14A27662" w14:textId="77777777" w:rsidTr="00081EA8">
        <w:tc>
          <w:tcPr>
            <w:tcW w:w="9778" w:type="dxa"/>
            <w:gridSpan w:val="3"/>
            <w:shd w:val="clear" w:color="auto" w:fill="auto"/>
          </w:tcPr>
          <w:p w14:paraId="44E4B28C" w14:textId="77777777" w:rsidR="00AE6784" w:rsidRPr="00396368" w:rsidRDefault="00AE6784" w:rsidP="00081EA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AE6784" w:rsidRPr="00396368" w14:paraId="7394345D" w14:textId="77777777" w:rsidTr="00081EA8">
        <w:tc>
          <w:tcPr>
            <w:tcW w:w="9778" w:type="dxa"/>
            <w:gridSpan w:val="3"/>
            <w:shd w:val="clear" w:color="auto" w:fill="auto"/>
          </w:tcPr>
          <w:p w14:paraId="74D03BD4" w14:textId="77777777" w:rsidR="00AE6784" w:rsidRPr="00396368" w:rsidRDefault="00AE6784" w:rsidP="00081EA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AE6784" w:rsidRPr="00396368" w14:paraId="36F9448E" w14:textId="77777777" w:rsidTr="00081EA8">
        <w:tc>
          <w:tcPr>
            <w:tcW w:w="9778" w:type="dxa"/>
            <w:gridSpan w:val="3"/>
            <w:shd w:val="clear" w:color="auto" w:fill="auto"/>
          </w:tcPr>
          <w:p w14:paraId="54E73C3D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, </w:t>
            </w:r>
            <w:r w:rsidRPr="00616FDE">
              <w:rPr>
                <w:rFonts w:ascii="Cambria" w:hAnsi="Cambria" w:cs="Arial"/>
              </w:rPr>
              <w:t>un (</w:t>
            </w:r>
            <w:r w:rsidRPr="00616FDE">
              <w:rPr>
                <w:rFonts w:ascii="Cambria" w:hAnsi="Cambria" w:cs="Arial"/>
                <w:highlight w:val="green"/>
              </w:rPr>
              <w:t>descrizione dell’evento</w:t>
            </w:r>
            <w:r w:rsidRPr="00616FDE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;</w:t>
            </w:r>
          </w:p>
          <w:p w14:paraId="45FED384" w14:textId="60424F8C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  <w:highlight w:val="yellow"/>
              </w:rPr>
            </w:pPr>
            <w:r w:rsidRPr="00616FDE">
              <w:rPr>
                <w:rFonts w:ascii="Cambria" w:hAnsi="Cambria" w:cs="Arial"/>
                <w:highlight w:val="yellow"/>
              </w:rPr>
              <w:t>Considerato che la situazione è tale da aver causato la dichiarazione di emergenza nazionale e l'emanazione di ordinanza</w:t>
            </w:r>
            <w:r>
              <w:rPr>
                <w:rFonts w:ascii="Cambria" w:hAnsi="Cambria" w:cs="Arial"/>
                <w:highlight w:val="yellow"/>
              </w:rPr>
              <w:t xml:space="preserve"> </w:t>
            </w:r>
            <w:r w:rsidRPr="00741D48">
              <w:rPr>
                <w:rFonts w:ascii="Cambria" w:hAnsi="Cambria" w:cs="Arial"/>
                <w:highlight w:val="yellow"/>
              </w:rPr>
              <w:t>artt. 7, 24</w:t>
            </w:r>
            <w:r>
              <w:rPr>
                <w:rFonts w:ascii="Cambria" w:hAnsi="Cambria" w:cs="Arial"/>
                <w:highlight w:val="yellow"/>
              </w:rPr>
              <w:t xml:space="preserve"> e </w:t>
            </w:r>
            <w:r w:rsidRPr="00741D48">
              <w:rPr>
                <w:rFonts w:ascii="Cambria" w:hAnsi="Cambria" w:cs="Arial"/>
                <w:highlight w:val="yellow"/>
              </w:rPr>
              <w:t>25 del D.lgs. 1/2018</w:t>
            </w:r>
            <w:r w:rsidRPr="00616FDE">
              <w:rPr>
                <w:rFonts w:ascii="Cambria" w:hAnsi="Cambria" w:cs="Arial"/>
                <w:highlight w:val="yellow"/>
              </w:rPr>
              <w:t>;</w:t>
            </w:r>
            <w:r w:rsidR="00581A0A">
              <w:rPr>
                <w:rFonts w:ascii="Cambria" w:hAnsi="Cambria" w:cs="Arial"/>
                <w:highlight w:val="yellow"/>
              </w:rPr>
              <w:t xml:space="preserve"> </w:t>
            </w:r>
            <w:r w:rsidRPr="00616FDE">
              <w:rPr>
                <w:rFonts w:ascii="Cambria" w:hAnsi="Cambria" w:cs="Arial"/>
                <w:highlight w:val="yellow"/>
              </w:rPr>
              <w:t>(1)</w:t>
            </w:r>
          </w:p>
          <w:p w14:paraId="5C05433F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>Dato atto che i tecnici incaricati hanno presentato la relazione allegata in copia alla presente ordinanza, e segnalano che l’immobile sito in (</w:t>
            </w:r>
            <w:r w:rsidRPr="00616FDE">
              <w:rPr>
                <w:rFonts w:ascii="Cambria" w:hAnsi="Cambria" w:cs="Arial"/>
                <w:highlight w:val="green"/>
              </w:rPr>
              <w:t>indirizzo, e se possibile aggiungere l’identificazione catastale</w:t>
            </w:r>
            <w:r w:rsidRPr="00616FDE">
              <w:rPr>
                <w:rFonts w:ascii="Cambria" w:hAnsi="Cambria" w:cs="Arial"/>
              </w:rPr>
              <w:t xml:space="preserve">) di proprietà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616FDE">
              <w:rPr>
                <w:rFonts w:ascii="Cambria" w:hAnsi="Cambria" w:cs="Arial"/>
              </w:rPr>
              <w:t>è pericolante e minaccia di crollare su</w:t>
            </w:r>
            <w:r>
              <w:rPr>
                <w:rFonts w:ascii="Cambria" w:hAnsi="Cambria" w:cs="Arial"/>
              </w:rPr>
              <w:t xml:space="preserve"> </w:t>
            </w:r>
            <w:r w:rsidRPr="00581A0A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, </w:t>
            </w:r>
            <w:r w:rsidRPr="00616FDE">
              <w:rPr>
                <w:rFonts w:ascii="Cambria" w:hAnsi="Cambria" w:cs="Arial"/>
              </w:rPr>
              <w:t>costituendo pertanto grave pericolo alla pubblica incolumità, e precisano l’impossibilità di salvaguardare la stabilità dell’edificio anche con opere provvisionali;</w:t>
            </w:r>
          </w:p>
          <w:p w14:paraId="50F1AEFD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>Considerato che si rende pertanto necessario nell’immediato procedere alla demolizione delle parti pericolanti;</w:t>
            </w:r>
          </w:p>
          <w:p w14:paraId="62D2F75A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>Ritenuto di dover provvedere in merito, stante l’esigenza di tutelare la pubblica e privata incolumità;</w:t>
            </w:r>
          </w:p>
          <w:p w14:paraId="5268108F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>Visto il D.</w:t>
            </w:r>
            <w:r>
              <w:rPr>
                <w:rFonts w:ascii="Cambria" w:hAnsi="Cambria" w:cs="Arial"/>
              </w:rPr>
              <w:t>l</w:t>
            </w:r>
            <w:r w:rsidRPr="00616FDE">
              <w:rPr>
                <w:rFonts w:ascii="Cambria" w:hAnsi="Cambria" w:cs="Arial"/>
              </w:rPr>
              <w:t>gs</w:t>
            </w:r>
            <w:r>
              <w:rPr>
                <w:rFonts w:ascii="Cambria" w:hAnsi="Cambria" w:cs="Arial"/>
              </w:rPr>
              <w:t>.</w:t>
            </w:r>
            <w:r w:rsidRPr="00616FDE">
              <w:rPr>
                <w:rFonts w:ascii="Cambria" w:hAnsi="Cambria" w:cs="Arial"/>
              </w:rPr>
              <w:t xml:space="preserve"> 267/2000;</w:t>
            </w:r>
          </w:p>
          <w:p w14:paraId="7D50281F" w14:textId="77777777" w:rsidR="00AE6784" w:rsidRPr="00616FDE" w:rsidRDefault="00AE6784" w:rsidP="00AE6784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>L.</w:t>
            </w:r>
            <w:r w:rsidRPr="00616FDE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241/</w:t>
            </w:r>
            <w:r w:rsidRPr="00616FDE">
              <w:rPr>
                <w:rFonts w:ascii="Cambria" w:hAnsi="Cambria" w:cs="Arial"/>
              </w:rPr>
              <w:t>1990;</w:t>
            </w:r>
          </w:p>
          <w:p w14:paraId="37A4590E" w14:textId="5D8087C2" w:rsidR="00AE6784" w:rsidRPr="00AE6784" w:rsidRDefault="00AE6784" w:rsidP="00AE6784">
            <w:pPr>
              <w:numPr>
                <w:ilvl w:val="0"/>
                <w:numId w:val="5"/>
              </w:numPr>
              <w:spacing w:before="60" w:after="60"/>
              <w:textAlignment w:val="auto"/>
              <w:rPr>
                <w:rFonts w:ascii="Cambria" w:hAnsi="Cambria" w:cs="Arial"/>
              </w:rPr>
            </w:pPr>
            <w:r w:rsidRPr="00AD1A8F">
              <w:rPr>
                <w:rFonts w:ascii="Cambria" w:hAnsi="Cambria" w:cs="Arial"/>
              </w:rPr>
              <w:t>Visto il D.lgs. 1/2018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AE6784" w:rsidRPr="00396368" w14:paraId="6E966DDA" w14:textId="77777777" w:rsidTr="00081EA8">
        <w:tc>
          <w:tcPr>
            <w:tcW w:w="9778" w:type="dxa"/>
            <w:gridSpan w:val="3"/>
            <w:shd w:val="clear" w:color="auto" w:fill="auto"/>
          </w:tcPr>
          <w:p w14:paraId="63FFFCE9" w14:textId="77777777" w:rsidR="00AE6784" w:rsidRPr="00AE6784" w:rsidRDefault="00AE6784" w:rsidP="00081EA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AE6784">
              <w:rPr>
                <w:rFonts w:ascii="Cambria" w:hAnsi="Cambria" w:cs="Arial"/>
                <w:b/>
              </w:rPr>
              <w:t>Ordina</w:t>
            </w:r>
          </w:p>
        </w:tc>
      </w:tr>
      <w:tr w:rsidR="00AE6784" w:rsidRPr="00396368" w14:paraId="5198BDBF" w14:textId="77777777" w:rsidTr="00081EA8">
        <w:tc>
          <w:tcPr>
            <w:tcW w:w="9778" w:type="dxa"/>
            <w:gridSpan w:val="3"/>
            <w:shd w:val="clear" w:color="auto" w:fill="auto"/>
          </w:tcPr>
          <w:p w14:paraId="2BBFF325" w14:textId="77777777" w:rsidR="00AE6784" w:rsidRPr="00616FDE" w:rsidRDefault="00AE6784" w:rsidP="00EF2AA1">
            <w:pPr>
              <w:numPr>
                <w:ilvl w:val="0"/>
                <w:numId w:val="5"/>
              </w:numPr>
              <w:spacing w:before="60" w:after="60"/>
              <w:textAlignment w:val="auto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>Per i motivi esposti in premessa e che si intendono espressamente richiamati,  al Sig.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16FDE">
              <w:rPr>
                <w:rFonts w:ascii="Cambria" w:hAnsi="Cambria" w:cs="Arial"/>
              </w:rPr>
              <w:t xml:space="preserve"> di provvedere alla eliminazione dei pericoli per l’incolumità pubblica, mediante la messa in sicurezza dell’immobile e delle strutture pericolanti, con la demolizione delle parti pericolanti, lo sgombero del materiale di risulta presente, e delle masserizie, riguardanti l’unità abitativa posta in Via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Pr="00616FDE">
              <w:rPr>
                <w:rFonts w:ascii="Cambria" w:hAnsi="Cambria" w:cs="Arial"/>
              </w:rPr>
              <w:t xml:space="preserve"> con le relative pertinenze entro l’improrogabile termine di giorni 60 (sessanta)</w:t>
            </w:r>
            <w:r w:rsidRPr="00AD1A8F">
              <w:rPr>
                <w:rFonts w:ascii="Cambria" w:hAnsi="Cambria" w:cs="Arial"/>
              </w:rPr>
              <w:t>*</w:t>
            </w:r>
            <w:r w:rsidRPr="00616FDE">
              <w:rPr>
                <w:rFonts w:ascii="Cambria" w:hAnsi="Cambria" w:cs="Arial"/>
              </w:rPr>
              <w:t xml:space="preserve"> dalla data di notifica della presente ordinanza.</w:t>
            </w:r>
          </w:p>
          <w:p w14:paraId="7DDF8D1B" w14:textId="77777777" w:rsidR="00AE6784" w:rsidRPr="00AD1A8F" w:rsidRDefault="00AE6784" w:rsidP="00EF2AA1">
            <w:pPr>
              <w:numPr>
                <w:ilvl w:val="0"/>
                <w:numId w:val="5"/>
              </w:numPr>
              <w:spacing w:before="60" w:after="60"/>
              <w:textAlignment w:val="auto"/>
              <w:rPr>
                <w:rFonts w:ascii="Cambria" w:hAnsi="Cambria" w:cs="Arial"/>
              </w:rPr>
            </w:pPr>
            <w:r w:rsidRPr="00AD1A8F">
              <w:rPr>
                <w:rFonts w:ascii="Cambria" w:hAnsi="Cambria" w:cs="Arial"/>
              </w:rPr>
              <w:t>Tutti i lavori di messa in sicurezza dell’edificio dovranno essere eseguiti sotto la direzione di tecnico abilitato con il ripristino delle necessarie condizioni di sicurezza e quant’altro il caso richiede per tutelare la pubblica incolumità e, comunque, nel rispetto di tutte le norme di legge e regolamentari vigenti in materia.</w:t>
            </w:r>
          </w:p>
          <w:p w14:paraId="04354DA2" w14:textId="77777777" w:rsidR="00AE6784" w:rsidRPr="00616FDE" w:rsidRDefault="00AE6784" w:rsidP="00EF2AA1">
            <w:pPr>
              <w:numPr>
                <w:ilvl w:val="0"/>
                <w:numId w:val="5"/>
              </w:numPr>
              <w:spacing w:before="60" w:after="60"/>
              <w:textAlignment w:val="auto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</w:rPr>
              <w:t xml:space="preserve">Con la presente ordinanza viene altresì stabilito che, qualora il già menzionato </w:t>
            </w:r>
            <w:r>
              <w:rPr>
                <w:rFonts w:ascii="Cambria" w:hAnsi="Cambria" w:cs="Arial"/>
              </w:rPr>
              <w:t>proprietario</w:t>
            </w:r>
            <w:r w:rsidRPr="00616FDE">
              <w:rPr>
                <w:rFonts w:ascii="Cambria" w:hAnsi="Cambria" w:cs="Arial"/>
              </w:rPr>
              <w:t>, non dia attuazione all’ordinanza entro il termine stabilito, le opere necessarie verranno effettuate dal Comune</w:t>
            </w:r>
            <w:r w:rsidRPr="00AD1A8F">
              <w:rPr>
                <w:rFonts w:ascii="Cambria" w:hAnsi="Cambria" w:cs="Arial"/>
              </w:rPr>
              <w:t>,  senza ulteriore comunicazione al proprietario</w:t>
            </w:r>
            <w:r w:rsidRPr="00616FDE">
              <w:rPr>
                <w:rFonts w:ascii="Cambria" w:hAnsi="Cambria" w:cs="Arial"/>
              </w:rPr>
              <w:t>, ponendo a carico del detentore ogni spesa inerente e susseguente all’intervento, dando comunicazione scritta agli Enti di competenza per gli opportuni provvedimenti e sanzioni del caso per l’inottemperanza alla presente, ai sensi dell’art. 650 del Codice Penale;</w:t>
            </w:r>
          </w:p>
          <w:p w14:paraId="0BEFE70B" w14:textId="77777777" w:rsidR="00AE6784" w:rsidRPr="00616FDE" w:rsidRDefault="00AE6784" w:rsidP="00AE6784">
            <w:pPr>
              <w:spacing w:before="60" w:after="60"/>
              <w:rPr>
                <w:rFonts w:ascii="Cambria" w:hAnsi="Cambria" w:cs="Arial"/>
              </w:rPr>
            </w:pPr>
            <w:r w:rsidRPr="00616FDE">
              <w:rPr>
                <w:rFonts w:ascii="Cambria" w:hAnsi="Cambria" w:cs="Arial"/>
                <w:highlight w:val="yellow"/>
              </w:rPr>
              <w:t>Oppure, in caso di emergenza nazionale:</w:t>
            </w:r>
          </w:p>
          <w:p w14:paraId="0D7F4466" w14:textId="724E1F7C" w:rsidR="00AE6784" w:rsidRPr="00901B22" w:rsidRDefault="00AE6784" w:rsidP="00AE6784">
            <w:pPr>
              <w:numPr>
                <w:ilvl w:val="0"/>
                <w:numId w:val="6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highlight w:val="yellow"/>
              </w:rPr>
            </w:pPr>
            <w:r w:rsidRPr="00616FDE">
              <w:rPr>
                <w:rFonts w:ascii="Cambria" w:hAnsi="Cambria" w:cs="Arial"/>
                <w:highlight w:val="yellow"/>
              </w:rPr>
              <w:t xml:space="preserve">Il transennamento immediato e l'abbattimento </w:t>
            </w:r>
            <w:r w:rsidRPr="00AD1A8F">
              <w:rPr>
                <w:rFonts w:ascii="Cambria" w:hAnsi="Cambria" w:cs="Arial"/>
                <w:highlight w:val="yellow"/>
              </w:rPr>
              <w:t>d'ufficio dei sopraelencati immobili, senza</w:t>
            </w:r>
            <w:r w:rsidRPr="00616FDE">
              <w:rPr>
                <w:rFonts w:ascii="Cambria" w:hAnsi="Cambria" w:cs="Arial"/>
                <w:highlight w:val="yellow"/>
              </w:rPr>
              <w:t xml:space="preserve"> spesa alcuna a carico degli interessati, dei </w:t>
            </w:r>
            <w:r w:rsidRPr="00901B22">
              <w:rPr>
                <w:rFonts w:ascii="Cambria" w:hAnsi="Cambria" w:cs="Arial"/>
                <w:highlight w:val="yellow"/>
              </w:rPr>
              <w:t>sopraelencati immobili o di parti di essi di proprietà delle persone ivi indicate e per le finalità sopra descritte, da effettuarsi a cura di Vigili del Fuoco / Ufficio Tecnico / ditta incaricata;</w:t>
            </w:r>
          </w:p>
          <w:p w14:paraId="666FC7C2" w14:textId="7AA68762" w:rsidR="00AE6784" w:rsidRPr="00901B22" w:rsidRDefault="00AE6784" w:rsidP="00AE6784">
            <w:pPr>
              <w:numPr>
                <w:ilvl w:val="0"/>
                <w:numId w:val="6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highlight w:val="yellow"/>
              </w:rPr>
            </w:pPr>
            <w:r w:rsidRPr="00901B22">
              <w:rPr>
                <w:rFonts w:ascii="Cambria" w:hAnsi="Cambria" w:cs="Arial"/>
                <w:highlight w:val="yellow"/>
              </w:rPr>
              <w:t>All’Ufficio Tecnico di procedere all’esecuzione della presente ordinanza secondo la seguente procedura:</w:t>
            </w:r>
          </w:p>
          <w:p w14:paraId="694F3AFC" w14:textId="3DAE8649" w:rsidR="00AE6784" w:rsidRPr="00901B22" w:rsidRDefault="00AE6784" w:rsidP="00AE6784">
            <w:pPr>
              <w:numPr>
                <w:ilvl w:val="1"/>
                <w:numId w:val="7"/>
              </w:numPr>
              <w:overflowPunct/>
              <w:spacing w:before="60" w:after="60"/>
              <w:ind w:left="1134" w:hanging="425"/>
              <w:textAlignment w:val="auto"/>
              <w:rPr>
                <w:rFonts w:ascii="Cambria" w:hAnsi="Cambria" w:cs="Arial"/>
                <w:highlight w:val="yellow"/>
              </w:rPr>
            </w:pPr>
            <w:r w:rsidRPr="00901B22">
              <w:rPr>
                <w:rFonts w:ascii="Cambria" w:hAnsi="Cambria" w:cs="Arial"/>
                <w:highlight w:val="yellow"/>
              </w:rPr>
              <w:t>redazione immediata di un verbale con lo stato di consistenza del manufatto da demolire, corredato da fotografie e da una relazione tecnica che indichi e precisi se del caso le singole parti di edificio da demolire;</w:t>
            </w:r>
          </w:p>
          <w:p w14:paraId="1F96C9C3" w14:textId="20A10684" w:rsidR="00AE6784" w:rsidRPr="00901B22" w:rsidRDefault="00AE6784" w:rsidP="00AE6784">
            <w:pPr>
              <w:numPr>
                <w:ilvl w:val="1"/>
                <w:numId w:val="7"/>
              </w:numPr>
              <w:overflowPunct/>
              <w:spacing w:before="60" w:after="60"/>
              <w:ind w:left="1134" w:hanging="425"/>
              <w:textAlignment w:val="auto"/>
              <w:rPr>
                <w:rFonts w:ascii="Cambria" w:hAnsi="Cambria" w:cs="Arial"/>
                <w:highlight w:val="yellow"/>
              </w:rPr>
            </w:pPr>
            <w:r w:rsidRPr="00901B22">
              <w:rPr>
                <w:rFonts w:ascii="Cambria" w:hAnsi="Cambria" w:cs="Arial"/>
                <w:highlight w:val="yellow"/>
              </w:rPr>
              <w:t>convocazione tempestiva del proprietario sul luogo della demolizione, per l’assistenza alla redazione del verbale stesso e alla conseguente attività di demolizione;</w:t>
            </w:r>
          </w:p>
          <w:p w14:paraId="76C70D1C" w14:textId="5C83ABE6" w:rsidR="00AE6784" w:rsidRPr="00EF2AA1" w:rsidRDefault="00AE6784" w:rsidP="00AE6784">
            <w:pPr>
              <w:numPr>
                <w:ilvl w:val="1"/>
                <w:numId w:val="7"/>
              </w:numPr>
              <w:overflowPunct/>
              <w:spacing w:before="60" w:after="60"/>
              <w:ind w:left="1134" w:hanging="425"/>
              <w:textAlignment w:val="auto"/>
              <w:rPr>
                <w:rFonts w:ascii="Cambria" w:hAnsi="Cambria" w:cs="Arial"/>
                <w:highlight w:val="yellow"/>
              </w:rPr>
            </w:pPr>
            <w:r w:rsidRPr="00901B22">
              <w:rPr>
                <w:rFonts w:ascii="Cambria" w:hAnsi="Cambria" w:cs="Arial"/>
                <w:highlight w:val="yellow"/>
              </w:rPr>
              <w:t xml:space="preserve">in caso di eventuale assenza del proprietario, la </w:t>
            </w:r>
            <w:r w:rsidRPr="00EF2AA1">
              <w:rPr>
                <w:rFonts w:ascii="Cambria" w:hAnsi="Cambria" w:cs="Arial"/>
                <w:highlight w:val="yellow"/>
              </w:rPr>
              <w:t>redazione del verbale di consistenza di fronte a due testimoni, e la immediata conseguente demolizione.</w:t>
            </w:r>
          </w:p>
          <w:p w14:paraId="4D4EF21E" w14:textId="77777777" w:rsidR="00AE6784" w:rsidRPr="00901B22" w:rsidRDefault="00AE6784" w:rsidP="00AE6784">
            <w:p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>All’Ufficio Tecnico l’immediata esecuzione della presente Ordinanza e al Comando di Polizia Locale la notifica della presente ordinanza.</w:t>
            </w:r>
          </w:p>
          <w:p w14:paraId="069307A3" w14:textId="7D63BFC1" w:rsidR="00AE6784" w:rsidRPr="00AE6784" w:rsidRDefault="00AE6784" w:rsidP="00AE6784">
            <w:pPr>
              <w:spacing w:before="60" w:after="60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 xml:space="preserve">Al Comando di Polizia Locale di provvedere, utilizzando il personale municipale, ad installare adeguata </w:t>
            </w:r>
            <w:r w:rsidRPr="00901B22">
              <w:rPr>
                <w:rFonts w:ascii="Cambria" w:hAnsi="Cambria" w:cs="Arial"/>
              </w:rPr>
              <w:lastRenderedPageBreak/>
              <w:t>segnaletica che indichi la necessità di procedere a senso unico alternato (o se non sia possibile il divieto di accesso).</w:t>
            </w:r>
          </w:p>
        </w:tc>
      </w:tr>
      <w:tr w:rsidR="00AE6784" w:rsidRPr="00AE6784" w14:paraId="6C2F8744" w14:textId="77777777" w:rsidTr="00081EA8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4A06" w14:textId="77777777" w:rsidR="00AE6784" w:rsidRPr="00AE6784" w:rsidRDefault="00AE6784" w:rsidP="00081EA8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AE6784">
              <w:rPr>
                <w:rFonts w:ascii="Cambria" w:hAnsi="Cambria" w:cs="Arial"/>
                <w:b/>
                <w:bCs/>
              </w:rPr>
              <w:lastRenderedPageBreak/>
              <w:t>Ricorda</w:t>
            </w:r>
          </w:p>
        </w:tc>
      </w:tr>
      <w:tr w:rsidR="00AE6784" w:rsidRPr="00AE6784" w14:paraId="24F9492F" w14:textId="77777777" w:rsidTr="00AE678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C5D" w14:textId="08848AD0" w:rsidR="00AE6784" w:rsidRPr="00AE6784" w:rsidRDefault="00AE6784" w:rsidP="00AE6784">
            <w:pPr>
              <w:spacing w:before="60" w:after="60"/>
              <w:rPr>
                <w:rFonts w:ascii="Cambria" w:hAnsi="Cambria" w:cs="Arial"/>
              </w:rPr>
            </w:pPr>
            <w:r w:rsidRPr="0003565E">
              <w:rPr>
                <w:rFonts w:ascii="Cambria" w:hAnsi="Cambria" w:cs="Arial"/>
              </w:rPr>
              <w:t>Ai Signori proprietari/detentori che sono responsabili in solido, con altri obbligati e fatti salvi eventuali diritti di</w:t>
            </w:r>
            <w:r w:rsidRPr="00901B22">
              <w:rPr>
                <w:rFonts w:ascii="Cambria" w:hAnsi="Cambria" w:cs="Arial"/>
              </w:rPr>
              <w:t xml:space="preserve"> terzi, che nella loro qualità, civilmente, patrimonialmente e penalmente, della omissione di azioni e provvedimenti a tutela della privata e della pubblica incolumità che ricadano in capo al proprietario o comunque a chi lo rappresenta legalmente.</w:t>
            </w:r>
          </w:p>
        </w:tc>
      </w:tr>
      <w:tr w:rsidR="00AE6784" w:rsidRPr="00AE6784" w14:paraId="7429534D" w14:textId="77777777" w:rsidTr="00081EA8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6443" w14:textId="77777777" w:rsidR="00AE6784" w:rsidRPr="00AE6784" w:rsidRDefault="00AE6784" w:rsidP="00081EA8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AE6784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AE6784" w:rsidRPr="00AE6784" w14:paraId="615F6EE1" w14:textId="77777777" w:rsidTr="00AE678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F78B" w14:textId="5D0ECE34" w:rsidR="00AE6784" w:rsidRPr="00AE6784" w:rsidRDefault="00AE6784" w:rsidP="00081EA8">
            <w:pPr>
              <w:spacing w:before="60" w:after="60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>Che a norma dell'art.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</w:rPr>
              <w:t>6 della L. 241/1990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</w:rPr>
              <w:t xml:space="preserve">il responsabile del provvedimento è il Sig.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 xml:space="preserve"> il quale provvederà 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AE6784" w:rsidRPr="00AE6784" w14:paraId="2663529E" w14:textId="77777777" w:rsidTr="00081EA8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27CB" w14:textId="77777777" w:rsidR="00AE6784" w:rsidRPr="00AE6784" w:rsidRDefault="00AE6784" w:rsidP="00081EA8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AE6784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AE6784" w:rsidRPr="00AE6784" w14:paraId="1DDDDF5B" w14:textId="77777777" w:rsidTr="00AE678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CD5E" w14:textId="77777777" w:rsidR="00AE6784" w:rsidRPr="00901B22" w:rsidRDefault="00AE6784" w:rsidP="00AE6784">
            <w:pPr>
              <w:numPr>
                <w:ilvl w:val="0"/>
                <w:numId w:val="8"/>
              </w:numPr>
              <w:spacing w:before="60" w:after="60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>Che eventuali danni a persone e cose, derivanti dal mancato rispetto del presente provvedimento, saranno a carico del Sig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 xml:space="preserve"> che ne risponderà in via civile, penale ed amministrativa;</w:t>
            </w:r>
          </w:p>
          <w:p w14:paraId="6C8788FB" w14:textId="77777777" w:rsidR="00AE6784" w:rsidRPr="00901B22" w:rsidRDefault="00AE6784" w:rsidP="00AE6784">
            <w:pPr>
              <w:numPr>
                <w:ilvl w:val="0"/>
                <w:numId w:val="8"/>
              </w:numPr>
              <w:spacing w:before="60" w:after="60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 xml:space="preserve">Che contro la presente ordinanza quanti hanno interesse potranno fare ricorso al Prefetto entro 30 giorni, al TAR Piemonte entro 60 </w:t>
            </w:r>
            <w:r w:rsidRPr="00AD1A8F">
              <w:rPr>
                <w:rFonts w:ascii="Cambria" w:hAnsi="Cambria" w:cs="Arial"/>
              </w:rPr>
              <w:t>giorni o, in alternativa, entro 120</w:t>
            </w:r>
            <w:r w:rsidRPr="00901B22">
              <w:rPr>
                <w:rFonts w:ascii="Cambria" w:hAnsi="Cambria" w:cs="Arial"/>
              </w:rPr>
              <w:t xml:space="preserve"> giorni al Capo dello Stato, termini tutti decorrenti dalla data di notifica del presente provvedimento o della piena conoscenza dello stesso;</w:t>
            </w:r>
          </w:p>
          <w:p w14:paraId="05620EC9" w14:textId="5D1F051C" w:rsidR="00AE6784" w:rsidRPr="00AE6784" w:rsidRDefault="00AE6784" w:rsidP="00AE6784">
            <w:pPr>
              <w:numPr>
                <w:ilvl w:val="0"/>
                <w:numId w:val="8"/>
              </w:numPr>
              <w:spacing w:before="60" w:after="60"/>
              <w:rPr>
                <w:rFonts w:ascii="Cambria" w:hAnsi="Cambria" w:cs="Arial"/>
              </w:rPr>
            </w:pPr>
            <w:r w:rsidRPr="00901B22">
              <w:rPr>
                <w:rFonts w:ascii="Cambria" w:hAnsi="Cambria" w:cs="Arial"/>
              </w:rPr>
              <w:t>Copia del presente provvedimento è pubblicata all’Albo del comune e notificata a</w:t>
            </w:r>
            <w:r>
              <w:rPr>
                <w:rFonts w:ascii="Cambria" w:hAnsi="Cambria" w:cs="Arial"/>
              </w:rPr>
              <w:t xml:space="preserve">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 xml:space="preserve"> e verrà trasmessa alla Regione Piemonte, alla Prefettura</w:t>
            </w:r>
            <w:r>
              <w:rPr>
                <w:rFonts w:ascii="Cambria" w:hAnsi="Cambria" w:cs="Arial"/>
              </w:rPr>
              <w:t xml:space="preserve"> - Ufficio Territoriale del Governo</w:t>
            </w:r>
            <w:r w:rsidRPr="00901B2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di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="004B1A93">
              <w:rPr>
                <w:rFonts w:ascii="Cambria" w:hAnsi="Cambria" w:cs="Arial"/>
              </w:rPr>
              <w:t xml:space="preserve"> e </w:t>
            </w:r>
            <w:r>
              <w:rPr>
                <w:rFonts w:ascii="Cambria" w:hAnsi="Cambria" w:cs="Arial"/>
              </w:rPr>
              <w:t xml:space="preserve">alla </w:t>
            </w:r>
            <w:r w:rsidRPr="00AE6784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>.</w:t>
            </w:r>
          </w:p>
        </w:tc>
      </w:tr>
      <w:tr w:rsidR="00AE6784" w:rsidRPr="00396368" w14:paraId="65BC867C" w14:textId="77777777" w:rsidTr="00081EA8">
        <w:tc>
          <w:tcPr>
            <w:tcW w:w="1951" w:type="dxa"/>
            <w:vMerge w:val="restart"/>
            <w:shd w:val="clear" w:color="auto" w:fill="auto"/>
            <w:vAlign w:val="center"/>
          </w:tcPr>
          <w:p w14:paraId="16FB9896" w14:textId="77777777" w:rsidR="00AE6784" w:rsidRPr="00396368" w:rsidRDefault="00AE6784" w:rsidP="00081EA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4D197C25" w14:textId="77777777" w:rsidR="00AE6784" w:rsidRPr="00396368" w:rsidRDefault="00AE6784" w:rsidP="00081EA8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AE6784" w:rsidRPr="00396368" w14:paraId="6F105B63" w14:textId="77777777" w:rsidTr="00081EA8">
        <w:tc>
          <w:tcPr>
            <w:tcW w:w="1951" w:type="dxa"/>
            <w:vMerge/>
            <w:shd w:val="clear" w:color="auto" w:fill="auto"/>
          </w:tcPr>
          <w:p w14:paraId="0C80243B" w14:textId="77777777" w:rsidR="00AE6784" w:rsidRPr="00396368" w:rsidRDefault="00AE6784" w:rsidP="00081EA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2AFAB577" w14:textId="77777777" w:rsidR="00AE6784" w:rsidRPr="00396368" w:rsidRDefault="00AE6784" w:rsidP="00081EA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yellow"/>
              </w:rPr>
              <w:t>giallo</w:t>
            </w:r>
            <w:r w:rsidRPr="003C3615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tr w:rsidR="00AE6784" w:rsidRPr="00396368" w14:paraId="197CD022" w14:textId="77777777" w:rsidTr="00081EA8">
        <w:tc>
          <w:tcPr>
            <w:tcW w:w="1951" w:type="dxa"/>
            <w:vMerge/>
            <w:shd w:val="clear" w:color="auto" w:fill="auto"/>
          </w:tcPr>
          <w:p w14:paraId="78756BE5" w14:textId="77777777" w:rsidR="00AE6784" w:rsidRPr="00396368" w:rsidRDefault="00AE6784" w:rsidP="00081EA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4BB92993" w14:textId="7F022312" w:rsidR="00AE6784" w:rsidRPr="00AE6784" w:rsidRDefault="00AE6784" w:rsidP="00081EA8">
            <w:pPr>
              <w:spacing w:before="60" w:after="60"/>
              <w:jc w:val="both"/>
              <w:rPr>
                <w:rFonts w:ascii="Cambria" w:hAnsi="Cambria" w:cs="Arial"/>
                <w:color w:val="FF0000"/>
              </w:rPr>
            </w:pPr>
            <w:r w:rsidRPr="00AD1A8F">
              <w:rPr>
                <w:rFonts w:ascii="Cambria" w:hAnsi="Cambria" w:cs="Arial"/>
                <w:color w:val="FF0000"/>
              </w:rPr>
              <w:t>*in caso di urgenza e/o gravità della situazione i termini possono essere ridotti</w:t>
            </w:r>
          </w:p>
        </w:tc>
      </w:tr>
    </w:tbl>
    <w:p w14:paraId="09C3AF93" w14:textId="77777777" w:rsidR="00AD1A8F" w:rsidRPr="00AD1A8F" w:rsidRDefault="00AD1A8F" w:rsidP="00AE6784">
      <w:pPr>
        <w:spacing w:before="60" w:after="60"/>
        <w:jc w:val="center"/>
        <w:rPr>
          <w:rFonts w:ascii="Cambria" w:hAnsi="Cambria" w:cs="Arial"/>
          <w:color w:val="FF0000"/>
        </w:rPr>
      </w:pPr>
    </w:p>
    <w:sectPr w:rsidR="00AD1A8F" w:rsidRPr="00AD1A8F" w:rsidSect="00EF2AA1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20" w:footer="720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8FFE" w14:textId="77777777" w:rsidR="00133125" w:rsidRDefault="00133125">
      <w:r>
        <w:separator/>
      </w:r>
    </w:p>
  </w:endnote>
  <w:endnote w:type="continuationSeparator" w:id="0">
    <w:p w14:paraId="2578901F" w14:textId="77777777" w:rsidR="00133125" w:rsidRDefault="0013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A5CA" w14:textId="77777777" w:rsidR="003E3489" w:rsidRDefault="003E348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D33A7A" w14:textId="77777777" w:rsidR="003E3489" w:rsidRDefault="003E34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924F" w14:textId="77777777" w:rsidR="003E3489" w:rsidRDefault="003E34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BB37" w14:textId="77777777" w:rsidR="00133125" w:rsidRDefault="00133125">
      <w:r>
        <w:separator/>
      </w:r>
    </w:p>
  </w:footnote>
  <w:footnote w:type="continuationSeparator" w:id="0">
    <w:p w14:paraId="46D9833B" w14:textId="77777777" w:rsidR="00133125" w:rsidRDefault="00133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409A" w14:textId="1A50B8E2" w:rsidR="0027660F" w:rsidRDefault="0052293A" w:rsidP="0027660F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27660F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27660F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08604038" w14:textId="77777777" w:rsidR="00C26D6F" w:rsidRDefault="00C26D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25D8A"/>
    <w:lvl w:ilvl="0">
      <w:numFmt w:val="decimal"/>
      <w:lvlText w:val="*"/>
      <w:lvlJc w:val="left"/>
    </w:lvl>
  </w:abstractNum>
  <w:abstractNum w:abstractNumId="1" w15:restartNumberingAfterBreak="0">
    <w:nsid w:val="26E43D96"/>
    <w:multiLevelType w:val="hybridMultilevel"/>
    <w:tmpl w:val="B4FEE6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E87334"/>
    <w:multiLevelType w:val="hybridMultilevel"/>
    <w:tmpl w:val="BE1249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3E2942"/>
    <w:multiLevelType w:val="hybridMultilevel"/>
    <w:tmpl w:val="040200A0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28C0AC1"/>
    <w:multiLevelType w:val="hybridMultilevel"/>
    <w:tmpl w:val="73B2DB4A"/>
    <w:lvl w:ilvl="0" w:tplc="D95AEB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30577"/>
    <w:multiLevelType w:val="hybridMultilevel"/>
    <w:tmpl w:val="D6C27B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6E093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D1600"/>
    <w:multiLevelType w:val="hybridMultilevel"/>
    <w:tmpl w:val="3F6ECE7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403C82"/>
    <w:multiLevelType w:val="hybridMultilevel"/>
    <w:tmpl w:val="D6B0DC28"/>
    <w:lvl w:ilvl="0" w:tplc="D95AEB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5724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94311192">
    <w:abstractNumId w:val="7"/>
  </w:num>
  <w:num w:numId="3" w16cid:durableId="1495994769">
    <w:abstractNumId w:val="4"/>
  </w:num>
  <w:num w:numId="4" w16cid:durableId="1534537883">
    <w:abstractNumId w:val="1"/>
  </w:num>
  <w:num w:numId="5" w16cid:durableId="416441761">
    <w:abstractNumId w:val="2"/>
  </w:num>
  <w:num w:numId="6" w16cid:durableId="1764494035">
    <w:abstractNumId w:val="5"/>
  </w:num>
  <w:num w:numId="7" w16cid:durableId="478813686">
    <w:abstractNumId w:val="3"/>
  </w:num>
  <w:num w:numId="8" w16cid:durableId="1723870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DE6"/>
    <w:rsid w:val="00021150"/>
    <w:rsid w:val="0003565E"/>
    <w:rsid w:val="00091780"/>
    <w:rsid w:val="000A0CCA"/>
    <w:rsid w:val="000D29B7"/>
    <w:rsid w:val="00114578"/>
    <w:rsid w:val="00133125"/>
    <w:rsid w:val="0016236C"/>
    <w:rsid w:val="0027660F"/>
    <w:rsid w:val="002F276A"/>
    <w:rsid w:val="003065B8"/>
    <w:rsid w:val="0035026B"/>
    <w:rsid w:val="003E3489"/>
    <w:rsid w:val="00431982"/>
    <w:rsid w:val="00436391"/>
    <w:rsid w:val="00476A4C"/>
    <w:rsid w:val="004B1A93"/>
    <w:rsid w:val="004C0EE9"/>
    <w:rsid w:val="004D472C"/>
    <w:rsid w:val="0052293A"/>
    <w:rsid w:val="00546301"/>
    <w:rsid w:val="00581A0A"/>
    <w:rsid w:val="005946A4"/>
    <w:rsid w:val="00595727"/>
    <w:rsid w:val="005A7779"/>
    <w:rsid w:val="005B3118"/>
    <w:rsid w:val="005B725C"/>
    <w:rsid w:val="005D5E6E"/>
    <w:rsid w:val="005E0DCE"/>
    <w:rsid w:val="006019BD"/>
    <w:rsid w:val="00616FDE"/>
    <w:rsid w:val="00686D16"/>
    <w:rsid w:val="006C7170"/>
    <w:rsid w:val="007248DE"/>
    <w:rsid w:val="00740F77"/>
    <w:rsid w:val="00741D48"/>
    <w:rsid w:val="007474EC"/>
    <w:rsid w:val="007A192B"/>
    <w:rsid w:val="007E57E5"/>
    <w:rsid w:val="00842C03"/>
    <w:rsid w:val="00880A52"/>
    <w:rsid w:val="008C2902"/>
    <w:rsid w:val="008E641D"/>
    <w:rsid w:val="00901B22"/>
    <w:rsid w:val="00927DF8"/>
    <w:rsid w:val="009521FB"/>
    <w:rsid w:val="009610AF"/>
    <w:rsid w:val="009A0E3E"/>
    <w:rsid w:val="009C5DE6"/>
    <w:rsid w:val="009C7581"/>
    <w:rsid w:val="00A67916"/>
    <w:rsid w:val="00A72D7E"/>
    <w:rsid w:val="00AD1A8F"/>
    <w:rsid w:val="00AD1CF5"/>
    <w:rsid w:val="00AE6784"/>
    <w:rsid w:val="00C153B7"/>
    <w:rsid w:val="00C26D6F"/>
    <w:rsid w:val="00C5505D"/>
    <w:rsid w:val="00D623DA"/>
    <w:rsid w:val="00D6302D"/>
    <w:rsid w:val="00D92C77"/>
    <w:rsid w:val="00DC0DD9"/>
    <w:rsid w:val="00E243D4"/>
    <w:rsid w:val="00E26551"/>
    <w:rsid w:val="00E53F8E"/>
    <w:rsid w:val="00EF2AA1"/>
    <w:rsid w:val="00F21BBE"/>
    <w:rsid w:val="00FB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E063C"/>
  <w15:chartTrackingRefBased/>
  <w15:docId w15:val="{EFF4D8F0-3716-4F7F-A328-3FFC2B52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26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38F3-5D9B-43FA-9B42-ECFB0AE1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Servizio Informatica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Marche</dc:creator>
  <cp:keywords/>
  <cp:lastModifiedBy>Gianfranco Messina</cp:lastModifiedBy>
  <cp:revision>19</cp:revision>
  <cp:lastPrinted>1999-02-09T15:09:00Z</cp:lastPrinted>
  <dcterms:created xsi:type="dcterms:W3CDTF">2020-10-26T16:55:00Z</dcterms:created>
  <dcterms:modified xsi:type="dcterms:W3CDTF">2023-02-14T07:13:00Z</dcterms:modified>
</cp:coreProperties>
</file>